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352E" w14:textId="04604C4A" w:rsidR="00842F55" w:rsidRPr="000B5994" w:rsidRDefault="00CB6DB1" w:rsidP="00C04B20">
      <w:pPr>
        <w:contextualSpacing/>
        <w:rPr>
          <w:b/>
          <w:bCs/>
        </w:rPr>
      </w:pPr>
      <w:r w:rsidRPr="000B5994">
        <w:rPr>
          <w:b/>
          <w:bCs/>
        </w:rPr>
        <w:t>Odpady léta páně 2021</w:t>
      </w:r>
    </w:p>
    <w:p w14:paraId="68B68A8C" w14:textId="0158A074" w:rsidR="007526BD" w:rsidRDefault="007526BD" w:rsidP="00C04B20">
      <w:pPr>
        <w:contextualSpacing/>
      </w:pPr>
      <w:r>
        <w:t>Každý led</w:t>
      </w:r>
      <w:r w:rsidR="002E6D22">
        <w:t>e</w:t>
      </w:r>
      <w:r>
        <w:t>n se na obecním úřadě scház</w:t>
      </w:r>
      <w:r w:rsidR="006C1B48">
        <w:t>ej</w:t>
      </w:r>
      <w:r>
        <w:t>í čísla potřebná k bilanci odpadového hospodářství obce</w:t>
      </w:r>
      <w:r w:rsidR="002E6D22">
        <w:t xml:space="preserve"> za uplynulý rok</w:t>
      </w:r>
      <w:r>
        <w:t xml:space="preserve">. </w:t>
      </w:r>
      <w:r w:rsidR="0083343A">
        <w:t>Finální účet</w:t>
      </w:r>
      <w:r w:rsidR="002E6D22">
        <w:t xml:space="preserve"> </w:t>
      </w:r>
      <w:r w:rsidR="0083343A">
        <w:t xml:space="preserve">roku </w:t>
      </w:r>
      <w:r w:rsidR="002E6D22">
        <w:t>2020 jsme rozebrali v předminulém zpravodaji (čl</w:t>
      </w:r>
      <w:r w:rsidR="006C1B48">
        <w:t>á</w:t>
      </w:r>
      <w:r w:rsidR="002E6D22">
        <w:t xml:space="preserve">nek </w:t>
      </w:r>
      <w:r w:rsidR="006C1B48">
        <w:t xml:space="preserve">„Odpadová účtenka“ </w:t>
      </w:r>
      <w:r w:rsidR="002E6D22">
        <w:t xml:space="preserve">si můžete dohledat v sekci </w:t>
      </w:r>
      <w:r w:rsidR="0083343A">
        <w:t>„O</w:t>
      </w:r>
      <w:r w:rsidR="002E6D22">
        <w:t>dpadové hospodářství</w:t>
      </w:r>
      <w:r w:rsidR="0083343A">
        <w:t>“</w:t>
      </w:r>
      <w:r w:rsidR="002E6D22">
        <w:t xml:space="preserve"> na obecním webu) a ukázali na nich, jaké jsou příjmy a výdaje hospodaření s odpady v obci </w:t>
      </w:r>
      <w:r w:rsidR="001F2936">
        <w:t xml:space="preserve">i to, </w:t>
      </w:r>
      <w:r w:rsidR="002E6D22">
        <w:t xml:space="preserve">jakou část nákladů </w:t>
      </w:r>
      <w:r w:rsidR="001F2936">
        <w:t xml:space="preserve">vlastně </w:t>
      </w:r>
      <w:r w:rsidR="002E6D22">
        <w:t>pokryjí poplatky</w:t>
      </w:r>
      <w:r w:rsidR="001F2936">
        <w:t xml:space="preserve"> od občanů</w:t>
      </w:r>
      <w:r w:rsidR="002E6D22">
        <w:t>. Nyní tedy něco málo k </w:t>
      </w:r>
      <w:r w:rsidR="00570BCE">
        <w:t>čerstvým</w:t>
      </w:r>
      <w:r w:rsidR="002E6D22">
        <w:t xml:space="preserve"> číslům, dlouhodobým trendům </w:t>
      </w:r>
      <w:r w:rsidR="00570BCE">
        <w:t>i</w:t>
      </w:r>
      <w:r w:rsidR="002E6D22">
        <w:t xml:space="preserve"> výhledům do budoucna.</w:t>
      </w:r>
      <w:r w:rsidR="008C6A73">
        <w:t xml:space="preserve"> Podrobný přehled poskytuje následující tabulka. V jednotlivých řádcích je v tunách uvedena hmotnost odvezeného druhu odpadu, sloupce pak reprezentují bilanci let 2016—2021. </w:t>
      </w:r>
    </w:p>
    <w:p w14:paraId="40102E6C" w14:textId="77777777" w:rsidR="00C04B20" w:rsidRDefault="00C04B20" w:rsidP="00C04B20">
      <w:pPr>
        <w:contextualSpacing/>
      </w:pPr>
    </w:p>
    <w:tbl>
      <w:tblPr>
        <w:tblW w:w="88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1091"/>
        <w:gridCol w:w="1091"/>
        <w:gridCol w:w="1091"/>
        <w:gridCol w:w="1091"/>
        <w:gridCol w:w="1091"/>
        <w:gridCol w:w="1091"/>
      </w:tblGrid>
      <w:tr w:rsidR="00D6453E" w:rsidRPr="00383611" w14:paraId="4E959E20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ECC2" w14:textId="77777777" w:rsidR="00D6453E" w:rsidRPr="00383611" w:rsidRDefault="00D6453E" w:rsidP="00C04B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(t)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751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Rok 2016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D41C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Rok 2017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0D29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Rok 2018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D9AD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Rok 2019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E63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Rok 2020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BF3" w14:textId="77777777" w:rsidR="00D6453E" w:rsidRPr="00383611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lang w:eastAsia="cs-CZ"/>
              </w:rPr>
            </w:pPr>
            <w:r w:rsidRPr="00383611">
              <w:rPr>
                <w:rFonts w:ascii="Calibri" w:eastAsia="Times New Roman" w:hAnsi="Calibri" w:cs="Calibri"/>
                <w:b/>
                <w:bCs/>
                <w:noProof w:val="0"/>
                <w:lang w:eastAsia="cs-CZ"/>
              </w:rPr>
              <w:t>Rok 2021</w:t>
            </w:r>
          </w:p>
        </w:tc>
      </w:tr>
      <w:tr w:rsidR="00D6453E" w:rsidRPr="00F276BD" w14:paraId="3F6CB902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D69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Papír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97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13,11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233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21,44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B72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23,77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C1BE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24,2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AE3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28,75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72C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31,56</w:t>
            </w:r>
          </w:p>
        </w:tc>
      </w:tr>
      <w:tr w:rsidR="00D6453E" w:rsidRPr="00F276BD" w14:paraId="7F8BA290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A24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Plast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A2CC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20,58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9BB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28,28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AD0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32,03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2CD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33,49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26E1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32,83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F81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34,07</w:t>
            </w:r>
          </w:p>
        </w:tc>
      </w:tr>
      <w:tr w:rsidR="00D6453E" w:rsidRPr="00F276BD" w14:paraId="1923A189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230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Sklo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0B28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19,66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E1E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22,55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DD8B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24,22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3A0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26,87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AB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25,43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37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32,74</w:t>
            </w:r>
          </w:p>
        </w:tc>
      </w:tr>
      <w:tr w:rsidR="00D6453E" w:rsidRPr="00F276BD" w14:paraId="2EB0FB7D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2028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Směsný komunální odpad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375F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269,74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EE3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269,02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6DC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254,73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6456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253,27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13D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261,37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FA6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230,99</w:t>
            </w:r>
          </w:p>
        </w:tc>
      </w:tr>
      <w:tr w:rsidR="00D6453E" w:rsidRPr="00F276BD" w14:paraId="4C524E8E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629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Velkoobjemový odpad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FAE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113,72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ABB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134,84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D9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1D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167,54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1576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178,70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931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185,48</w:t>
            </w:r>
          </w:p>
        </w:tc>
      </w:tr>
      <w:tr w:rsidR="00D6453E" w:rsidRPr="00F276BD" w14:paraId="1087506A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871" w14:textId="5821DE8A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 xml:space="preserve">Bio </w:t>
            </w:r>
            <w:r w:rsidR="00642B88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–</w:t>
            </w: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 xml:space="preserve"> hnědé kontejnery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052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114,74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02D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143,38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7E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109,91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BA1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108,22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2300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117,00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3BA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109,16</w:t>
            </w:r>
          </w:p>
        </w:tc>
      </w:tr>
      <w:tr w:rsidR="00D6453E" w:rsidRPr="00F276BD" w14:paraId="3C31F005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9DD1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Stavební suť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5A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210,44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36C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240,8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236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217,86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3280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274,22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D0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302,92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EE76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315,62</w:t>
            </w:r>
          </w:p>
        </w:tc>
      </w:tr>
      <w:tr w:rsidR="00D6453E" w:rsidRPr="00F276BD" w14:paraId="0C380F36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D0C6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Ostatní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56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32,48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2F24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14,66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4FB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16,62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99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23,99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22A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color w:val="000000"/>
                <w:lang w:eastAsia="cs-CZ"/>
              </w:rPr>
              <w:t>27,77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5EC" w14:textId="7416F1A8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noProof w:val="0"/>
                <w:lang w:eastAsia="cs-CZ"/>
              </w:rPr>
              <w:t>28,1</w:t>
            </w:r>
            <w:r w:rsidR="007F7694">
              <w:rPr>
                <w:rFonts w:ascii="Calibri" w:eastAsia="Times New Roman" w:hAnsi="Calibri" w:cs="Calibri"/>
                <w:noProof w:val="0"/>
                <w:lang w:eastAsia="cs-CZ"/>
              </w:rPr>
              <w:t>7</w:t>
            </w:r>
          </w:p>
        </w:tc>
      </w:tr>
      <w:tr w:rsidR="00D6453E" w:rsidRPr="00F276BD" w14:paraId="369973C4" w14:textId="77777777" w:rsidTr="00383611">
        <w:trPr>
          <w:trHeight w:val="483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C413D" w14:textId="77777777" w:rsidR="00D6453E" w:rsidRPr="00F276BD" w:rsidRDefault="00D6453E" w:rsidP="00C04B2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Celkem všechny odpady (t)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E651F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794,47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A5A97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874,97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1FDF1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809,14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7CB09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911,8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4F2DC" w14:textId="77777777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cs-CZ"/>
              </w:rPr>
              <w:t>974,77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5AC8C" w14:textId="2F41AB40" w:rsidR="00D6453E" w:rsidRPr="00F276BD" w:rsidRDefault="00D6453E" w:rsidP="00C04B20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b/>
                <w:bCs/>
                <w:noProof w:val="0"/>
                <w:lang w:eastAsia="cs-CZ"/>
              </w:rPr>
            </w:pPr>
            <w:r w:rsidRPr="00F276BD">
              <w:rPr>
                <w:rFonts w:ascii="Calibri" w:eastAsia="Times New Roman" w:hAnsi="Calibri" w:cs="Calibri"/>
                <w:b/>
                <w:bCs/>
                <w:noProof w:val="0"/>
                <w:lang w:eastAsia="cs-CZ"/>
              </w:rPr>
              <w:t>967,79</w:t>
            </w:r>
          </w:p>
        </w:tc>
      </w:tr>
    </w:tbl>
    <w:p w14:paraId="3212851E" w14:textId="77777777" w:rsidR="00206440" w:rsidRDefault="00206440" w:rsidP="00C04B20">
      <w:pPr>
        <w:contextualSpacing/>
      </w:pPr>
    </w:p>
    <w:p w14:paraId="4F53D1A5" w14:textId="77777777" w:rsidR="00C04B20" w:rsidRDefault="002E6D22" w:rsidP="00C04B20">
      <w:pPr>
        <w:contextualSpacing/>
      </w:pPr>
      <w:r>
        <w:t>Začněme optimisticky. N</w:t>
      </w:r>
      <w:r w:rsidR="00737210">
        <w:t xml:space="preserve">ejvýraznějším posunem </w:t>
      </w:r>
      <w:r w:rsidR="008C6A73">
        <w:t xml:space="preserve">roku 2021 </w:t>
      </w:r>
      <w:r w:rsidR="00737210">
        <w:t xml:space="preserve">je poměrně velké snížení produkce </w:t>
      </w:r>
      <w:r w:rsidR="00CD184D">
        <w:t xml:space="preserve">směsného </w:t>
      </w:r>
      <w:r w:rsidR="00737210">
        <w:t xml:space="preserve">komunálního odpadu. </w:t>
      </w:r>
      <w:r w:rsidR="00CD184D">
        <w:t xml:space="preserve">Do popelnic jsme toho </w:t>
      </w:r>
      <w:r w:rsidR="001F2936">
        <w:t xml:space="preserve">loni </w:t>
      </w:r>
      <w:r w:rsidR="00CD184D">
        <w:t>naházeli o 30 tun méně než v roce 2020 a suverénně nejméně od roku 201</w:t>
      </w:r>
      <w:r w:rsidR="00D6453E">
        <w:t>6</w:t>
      </w:r>
      <w:r w:rsidR="00CD184D">
        <w:t xml:space="preserve">. </w:t>
      </w:r>
      <w:r w:rsidR="006C1B48">
        <w:t>V přepočtu na domácnost</w:t>
      </w:r>
      <w:r w:rsidR="00CD184D">
        <w:t xml:space="preserve"> to lze </w:t>
      </w:r>
      <w:r w:rsidR="006C1B48">
        <w:t xml:space="preserve">přiblížit tak, že </w:t>
      </w:r>
      <w:r w:rsidR="00574D0C">
        <w:t xml:space="preserve">v porovnání s rokem 2020 byla </w:t>
      </w:r>
      <w:r w:rsidR="006C1B48">
        <w:t xml:space="preserve">průměrná </w:t>
      </w:r>
      <w:r w:rsidR="00574D0C">
        <w:t xml:space="preserve">chvalčovská </w:t>
      </w:r>
      <w:r w:rsidR="006C1B48">
        <w:t xml:space="preserve">popelnice </w:t>
      </w:r>
      <w:r w:rsidR="00CD184D">
        <w:t xml:space="preserve">lehčí </w:t>
      </w:r>
      <w:r w:rsidR="00220B59">
        <w:t xml:space="preserve">zhruba </w:t>
      </w:r>
      <w:r w:rsidR="00CD184D">
        <w:t>o 2 kila</w:t>
      </w:r>
      <w:r w:rsidR="006C1B48">
        <w:t xml:space="preserve"> při každém ze čtrnáctidenních svozů v roce. </w:t>
      </w:r>
      <w:r w:rsidR="00737210">
        <w:t xml:space="preserve">Teprve v dalších letech uvidíme, nakolik je tato změna </w:t>
      </w:r>
      <w:r w:rsidR="00D11DF5">
        <w:t>reálná</w:t>
      </w:r>
      <w:r w:rsidR="00574D0C">
        <w:t>, s malými výkyvy ale množství odpadu v popelnicích klesá</w:t>
      </w:r>
      <w:r w:rsidR="00570BCE">
        <w:t xml:space="preserve"> setrvale, ačkoli ne vždy tak výrazně jako tomu bylo mezi lety 2020 a 2021</w:t>
      </w:r>
      <w:r w:rsidR="00875015">
        <w:t xml:space="preserve"> (dobře to ukazuje graf níže)</w:t>
      </w:r>
      <w:r w:rsidR="00574D0C">
        <w:t>.</w:t>
      </w:r>
    </w:p>
    <w:p w14:paraId="315EFC92" w14:textId="4189677C" w:rsidR="0082306E" w:rsidRDefault="00CB6DB1" w:rsidP="00C04B20">
      <w:pPr>
        <w:ind w:firstLine="708"/>
        <w:contextualSpacing/>
      </w:pPr>
      <w:r>
        <w:t xml:space="preserve">Celková produkce odpadů ovšem stoupla od roku 2016 ze 794 tun na 968 tun v minulém roce. </w:t>
      </w:r>
      <w:r w:rsidR="000B13DD">
        <w:t>O</w:t>
      </w:r>
      <w:r>
        <w:t>bjem odpadu v popelnicích spíše klesá</w:t>
      </w:r>
      <w:r w:rsidR="000B13DD">
        <w:t xml:space="preserve">, součet </w:t>
      </w:r>
      <w:r w:rsidR="008A3577">
        <w:t>směsného komunálního (</w:t>
      </w:r>
      <w:r w:rsidR="000B13DD">
        <w:t>popelnic</w:t>
      </w:r>
      <w:r w:rsidR="008A3577">
        <w:t>e)</w:t>
      </w:r>
      <w:r w:rsidR="000B13DD">
        <w:t xml:space="preserve"> a celkového vytříděnoho odpadu (papír, plast, sklo)</w:t>
      </w:r>
      <w:r w:rsidR="008A3577">
        <w:t xml:space="preserve"> je ale zhruba stejný – lze tedy pozorovat, že jsme schopni více odpadu vytřídit.</w:t>
      </w:r>
      <w:r>
        <w:t xml:space="preserve"> </w:t>
      </w:r>
      <w:r w:rsidR="008A3577">
        <w:t>P</w:t>
      </w:r>
      <w:r>
        <w:t>odíl biologického odpadu v hnědých kontejnerech zůstává po celou dobu zhruba stejný</w:t>
      </w:r>
      <w:r w:rsidR="008A3577">
        <w:t xml:space="preserve">. </w:t>
      </w:r>
      <w:r w:rsidR="0082306E">
        <w:t xml:space="preserve">Celkový nárůst produkce odpadů má na svědomí především čím dál větší míra velkoobjemového odpadu a suti, které končí na sběrném dvoře. </w:t>
      </w:r>
    </w:p>
    <w:p w14:paraId="59739743" w14:textId="7DCCC0C0" w:rsidR="007B76ED" w:rsidRDefault="007B76ED" w:rsidP="00C04B20">
      <w:pPr>
        <w:contextualSpacing/>
      </w:pPr>
      <w:r>
        <w:lastRenderedPageBreak/>
        <w:drawing>
          <wp:inline distT="0" distB="0" distL="0" distR="0" wp14:anchorId="330B83EE" wp14:editId="6E0C002A">
            <wp:extent cx="5760720" cy="3089910"/>
            <wp:effectExtent l="0" t="0" r="11430" b="1524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4D50641-38BF-44CF-8161-88BCAA9958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69EA1E3" w14:textId="77777777" w:rsidR="00C04B20" w:rsidRDefault="00C04B20" w:rsidP="00C04B20">
      <w:pPr>
        <w:contextualSpacing/>
      </w:pPr>
    </w:p>
    <w:p w14:paraId="22C7994D" w14:textId="47D1CC7D" w:rsidR="00570CF2" w:rsidRDefault="00570CF2" w:rsidP="00C04B20">
      <w:pPr>
        <w:contextualSpacing/>
      </w:pPr>
      <w:r>
        <w:t>Roční přísun stavební suti nabyl za posledních 6 let o 100 tun, u velkoobjemového odpadu jde zhruba o 70 tun více než v roce 2016.</w:t>
      </w:r>
    </w:p>
    <w:p w14:paraId="4F08103D" w14:textId="384A48CF" w:rsidR="0014415E" w:rsidRDefault="00875015" w:rsidP="00C04B20">
      <w:pPr>
        <w:ind w:firstLine="708"/>
        <w:contextualSpacing/>
      </w:pPr>
      <w:r>
        <w:t>Z</w:t>
      </w:r>
      <w:r w:rsidR="004F2B8C">
        <w:t xml:space="preserve">ákonem vymezený </w:t>
      </w:r>
      <w:r w:rsidR="00244088">
        <w:t xml:space="preserve">cíl odpadového hospodářství je snížení produkce směsného odpadu pod hranici 130 </w:t>
      </w:r>
      <w:r w:rsidR="00A02BCD">
        <w:t>k</w:t>
      </w:r>
      <w:r w:rsidR="00244088">
        <w:t>g ročně na občana</w:t>
      </w:r>
      <w:r w:rsidR="00D31FD6">
        <w:t xml:space="preserve"> </w:t>
      </w:r>
      <w:r>
        <w:t xml:space="preserve">do roku 2030 </w:t>
      </w:r>
      <w:r w:rsidR="00D31FD6">
        <w:t>(vyšší produkce povede k vyšším obecním výdajům)</w:t>
      </w:r>
      <w:r w:rsidR="00244088">
        <w:t xml:space="preserve">. </w:t>
      </w:r>
      <w:r w:rsidR="0014415E">
        <w:t xml:space="preserve">Jinými slovy, cílem je </w:t>
      </w:r>
      <w:r w:rsidR="004F2B8C">
        <w:t xml:space="preserve">na Chvalčově </w:t>
      </w:r>
      <w:r w:rsidR="00357D03">
        <w:t xml:space="preserve">snížit množtví </w:t>
      </w:r>
      <w:r w:rsidR="0014415E">
        <w:t xml:space="preserve">komunálního odpadu </w:t>
      </w:r>
      <w:r w:rsidR="00357D03">
        <w:t xml:space="preserve"> cca na 212 tun</w:t>
      </w:r>
      <w:r w:rsidR="0014415E">
        <w:t xml:space="preserve">. </w:t>
      </w:r>
      <w:r w:rsidR="00444414">
        <w:t xml:space="preserve">Komunální odpad tvoří popelnice a velkoobjemový odpad. </w:t>
      </w:r>
      <w:r w:rsidR="0014415E">
        <w:t xml:space="preserve">Pokud by velkoobjemový odpad tvořil třetinu </w:t>
      </w:r>
      <w:r w:rsidR="00444414">
        <w:t>komunálního</w:t>
      </w:r>
      <w:r w:rsidR="00D31FD6">
        <w:t xml:space="preserve"> </w:t>
      </w:r>
      <w:r w:rsidR="0014415E">
        <w:t>odpadu (mezi lety 201</w:t>
      </w:r>
      <w:r w:rsidR="00D31FD6">
        <w:t>6</w:t>
      </w:r>
      <w:r w:rsidR="0014415E">
        <w:t xml:space="preserve">–2021 postupně stoupal </w:t>
      </w:r>
      <w:r w:rsidR="00D31FD6">
        <w:t>jeho</w:t>
      </w:r>
      <w:r w:rsidR="0014415E">
        <w:t xml:space="preserve"> podíl</w:t>
      </w:r>
      <w:r w:rsidR="00D31FD6">
        <w:t xml:space="preserve"> z</w:t>
      </w:r>
      <w:r w:rsidR="00642B88">
        <w:t> </w:t>
      </w:r>
      <w:r w:rsidR="0014415E">
        <w:t>29</w:t>
      </w:r>
      <w:r w:rsidR="00642B88">
        <w:t xml:space="preserve"> </w:t>
      </w:r>
      <w:r w:rsidR="0014415E">
        <w:t>% až na 45</w:t>
      </w:r>
      <w:r w:rsidR="00642B88">
        <w:t xml:space="preserve"> </w:t>
      </w:r>
      <w:r w:rsidR="0014415E">
        <w:t>%), znamen</w:t>
      </w:r>
      <w:r>
        <w:t>alo by</w:t>
      </w:r>
      <w:r w:rsidR="0014415E">
        <w:t xml:space="preserve"> to </w:t>
      </w:r>
      <w:r w:rsidR="00357D03">
        <w:t>klesnout</w:t>
      </w:r>
      <w:r w:rsidR="0014415E">
        <w:t xml:space="preserve"> z</w:t>
      </w:r>
      <w:r w:rsidR="004F2B8C">
        <w:t xml:space="preserve"> loňských optimistických </w:t>
      </w:r>
      <w:r w:rsidR="0014415E">
        <w:t xml:space="preserve">230 </w:t>
      </w:r>
      <w:r w:rsidR="00D31FD6">
        <w:t xml:space="preserve">tun </w:t>
      </w:r>
      <w:r w:rsidR="004F2B8C">
        <w:t xml:space="preserve">postupně až </w:t>
      </w:r>
      <w:r w:rsidR="00D31FD6">
        <w:t>někam ke</w:t>
      </w:r>
      <w:r w:rsidR="0014415E">
        <w:t xml:space="preserve"> 140 tun</w:t>
      </w:r>
      <w:r w:rsidR="00D31FD6">
        <w:t>ám</w:t>
      </w:r>
      <w:r w:rsidR="0014415E">
        <w:t xml:space="preserve"> odpadu z popelnic </w:t>
      </w:r>
      <w:r w:rsidR="00D31FD6">
        <w:t xml:space="preserve">(neboli </w:t>
      </w:r>
      <w:r w:rsidR="0014415E">
        <w:t xml:space="preserve">ubrat </w:t>
      </w:r>
      <w:r w:rsidR="00D31FD6">
        <w:t xml:space="preserve">ještě </w:t>
      </w:r>
      <w:r w:rsidR="0014415E">
        <w:t>cca 40</w:t>
      </w:r>
      <w:r w:rsidR="00642B88">
        <w:t xml:space="preserve"> </w:t>
      </w:r>
      <w:r w:rsidR="0014415E">
        <w:t xml:space="preserve">% </w:t>
      </w:r>
      <w:r w:rsidR="00D31FD6">
        <w:t xml:space="preserve">z </w:t>
      </w:r>
      <w:r w:rsidR="0014415E">
        <w:t>aktuálního objemu</w:t>
      </w:r>
      <w:r w:rsidR="00D31FD6">
        <w:t>)</w:t>
      </w:r>
      <w:r w:rsidR="0014415E">
        <w:t xml:space="preserve">, u velkoobjemového odpadu </w:t>
      </w:r>
      <w:r>
        <w:t>pak</w:t>
      </w:r>
      <w:r w:rsidR="0014415E">
        <w:t xml:space="preserve"> z aktuálních 185 na 70 tu</w:t>
      </w:r>
      <w:r w:rsidR="00D31FD6">
        <w:t>n</w:t>
      </w:r>
      <w:r w:rsidR="0014415E">
        <w:t>, zhruba tedy o 60</w:t>
      </w:r>
      <w:r w:rsidR="00642B88">
        <w:t xml:space="preserve"> </w:t>
      </w:r>
      <w:r w:rsidR="0014415E">
        <w:t xml:space="preserve">% méně.  </w:t>
      </w:r>
    </w:p>
    <w:p w14:paraId="403277EB" w14:textId="3B0C44EA" w:rsidR="00A91A32" w:rsidRDefault="004F2B8C" w:rsidP="00C04B20">
      <w:pPr>
        <w:ind w:firstLine="708"/>
        <w:contextualSpacing/>
      </w:pPr>
      <w:r>
        <w:t xml:space="preserve">Částečně nám v daném cíli mohou pomoci účetní operace. S Loukovem a Libosváry je domluveno, že od </w:t>
      </w:r>
      <w:r w:rsidR="009F5D39">
        <w:t>letošn</w:t>
      </w:r>
      <w:r>
        <w:t>ího roku si budou připisovat 20</w:t>
      </w:r>
      <w:r w:rsidR="00642B88">
        <w:t xml:space="preserve"> </w:t>
      </w:r>
      <w:r>
        <w:t>% velkoobjemového odpadu na sebe</w:t>
      </w:r>
      <w:r w:rsidR="00826F17">
        <w:t>. Z</w:t>
      </w:r>
      <w:r w:rsidR="00A02BCD">
        <w:t>hruba 20</w:t>
      </w:r>
      <w:r w:rsidR="00642B88">
        <w:t xml:space="preserve"> </w:t>
      </w:r>
      <w:r w:rsidR="00A02BCD">
        <w:t>% návštěvníků dvora totiž tvoří obyvatelé těchto obcí. T</w:t>
      </w:r>
      <w:r w:rsidR="009F5D39">
        <w:t>ento díl se Chvalčovu odečte z evidence a projeví se i v platbách za odvoz</w:t>
      </w:r>
      <w:r>
        <w:t xml:space="preserve">. Je také možné, že se v průběhu let podaří </w:t>
      </w:r>
      <w:r w:rsidR="00497BAC">
        <w:t xml:space="preserve">na státní úrovni </w:t>
      </w:r>
      <w:r>
        <w:t xml:space="preserve">započítat do způsobu měření produkce komunálních odpadů </w:t>
      </w:r>
      <w:r w:rsidR="00357D03">
        <w:t xml:space="preserve">v obcích </w:t>
      </w:r>
      <w:r>
        <w:t>taky chataře</w:t>
      </w:r>
      <w:r w:rsidR="00497BAC">
        <w:t>.</w:t>
      </w:r>
      <w:r w:rsidR="009F5D39">
        <w:t xml:space="preserve"> </w:t>
      </w:r>
      <w:r w:rsidR="00497BAC">
        <w:t>O</w:t>
      </w:r>
      <w:r w:rsidR="009F5D39">
        <w:t>dpady z chat se totiž započítávají do celkového množství</w:t>
      </w:r>
      <w:r w:rsidR="00A91A32">
        <w:t xml:space="preserve"> odpadů obce</w:t>
      </w:r>
      <w:r w:rsidR="009F5D39">
        <w:t xml:space="preserve">, chataři za odpady také platí, nicméně </w:t>
      </w:r>
      <w:r w:rsidR="00206440">
        <w:t xml:space="preserve">celkové </w:t>
      </w:r>
      <w:r w:rsidR="009F5D39">
        <w:t>množství odpadu se dělí pouze počtem stále hlášených obyvatel</w:t>
      </w:r>
      <w:r w:rsidR="00A91A32">
        <w:t xml:space="preserve"> obce</w:t>
      </w:r>
      <w:r w:rsidR="00206440">
        <w:t>.</w:t>
      </w:r>
      <w:r w:rsidR="009F5D39">
        <w:t xml:space="preserve"> </w:t>
      </w:r>
      <w:r w:rsidR="00206440">
        <w:t>Čím více chat se na území dané obce nachází, tím méně ukazuje přepočet odpadu na obyvatele skutečný stav.</w:t>
      </w:r>
      <w:r w:rsidR="001F2936">
        <w:t xml:space="preserve"> </w:t>
      </w:r>
    </w:p>
    <w:p w14:paraId="73E422CE" w14:textId="70138162" w:rsidR="0014415E" w:rsidRDefault="001F2936" w:rsidP="00C04B20">
      <w:pPr>
        <w:contextualSpacing/>
      </w:pPr>
      <w:r>
        <w:t xml:space="preserve">I se všemi těmito </w:t>
      </w:r>
      <w:r w:rsidR="00206440">
        <w:t xml:space="preserve">(případnými) </w:t>
      </w:r>
      <w:r>
        <w:t xml:space="preserve">bonusy je ale potřeba odpadové hospodářství </w:t>
      </w:r>
      <w:r w:rsidR="009F5D39">
        <w:t xml:space="preserve">dále </w:t>
      </w:r>
      <w:r>
        <w:t>měnit.</w:t>
      </w:r>
      <w:r w:rsidR="00357D03">
        <w:t xml:space="preserve"> Co nejvíce podporovat domácí kompostování (neboť biologický odpad tvoří až polovinu obsahu běžné popelnice), </w:t>
      </w:r>
      <w:r w:rsidR="00444414">
        <w:t>podporovat různé podoby předch</w:t>
      </w:r>
      <w:r w:rsidR="00497BAC">
        <w:t>á</w:t>
      </w:r>
      <w:r w:rsidR="00444414">
        <w:t>zení vzniku odpadu</w:t>
      </w:r>
      <w:r w:rsidR="00A743E9">
        <w:t xml:space="preserve"> (jednou z možností je nabídnout například nábytek k vyhození nejdříve </w:t>
      </w:r>
      <w:r w:rsidR="00D11DF5">
        <w:t>tisícovce uživatelů</w:t>
      </w:r>
      <w:r w:rsidR="00A743E9">
        <w:t xml:space="preserve"> skupin</w:t>
      </w:r>
      <w:r w:rsidR="00D11DF5">
        <w:t>y Swap pod Hostýnem</w:t>
      </w:r>
      <w:r w:rsidR="00A743E9">
        <w:t>)</w:t>
      </w:r>
      <w:r w:rsidR="00444414">
        <w:t xml:space="preserve"> a </w:t>
      </w:r>
      <w:r w:rsidR="00357D03">
        <w:t xml:space="preserve">co nejvíce roztřiďovat </w:t>
      </w:r>
      <w:r w:rsidR="00D11DF5">
        <w:t xml:space="preserve">zbylý </w:t>
      </w:r>
      <w:r w:rsidR="00357D03">
        <w:t>velkoobjemový odpad na využitelné složky</w:t>
      </w:r>
      <w:r w:rsidR="00497BAC">
        <w:t>. U</w:t>
      </w:r>
      <w:r w:rsidR="0083343A">
        <w:t xml:space="preserve"> starých oken</w:t>
      </w:r>
      <w:r w:rsidR="00A743E9">
        <w:t xml:space="preserve"> dříve vyhazovaných do kontejneru na velkoobjemový odpad</w:t>
      </w:r>
      <w:r w:rsidR="0083343A">
        <w:t xml:space="preserve"> se </w:t>
      </w:r>
      <w:r w:rsidR="00497BAC">
        <w:t xml:space="preserve">například </w:t>
      </w:r>
      <w:r w:rsidR="0083343A">
        <w:t xml:space="preserve">v minulém roce začalo s demontáží skla z rámů, což se patrně projevilo v hmotnosti vytříděného skla; </w:t>
      </w:r>
      <w:r w:rsidR="00DA72FE">
        <w:t xml:space="preserve">celková </w:t>
      </w:r>
      <w:r w:rsidR="0083343A">
        <w:t>váha velkoobjemového odpadu se ovšem zvýšila i tak.</w:t>
      </w:r>
    </w:p>
    <w:p w14:paraId="432F0A63" w14:textId="32BB5EE3" w:rsidR="0014415E" w:rsidRDefault="001F2936" w:rsidP="00C04B20">
      <w:pPr>
        <w:ind w:firstLine="708"/>
        <w:contextualSpacing/>
      </w:pPr>
      <w:r>
        <w:t xml:space="preserve">Minulý rok každopádně </w:t>
      </w:r>
      <w:r w:rsidR="00BC01A0">
        <w:t xml:space="preserve">na konkrétních číslech </w:t>
      </w:r>
      <w:r>
        <w:t xml:space="preserve">ukázal, že Chvalčovjáci nejsou k tématu </w:t>
      </w:r>
      <w:r w:rsidR="0083343A">
        <w:t xml:space="preserve">odpadového hospodářství </w:t>
      </w:r>
      <w:r>
        <w:t>lhostejní. A za to se sluší na závěr tohoto článku poděkovat.</w:t>
      </w:r>
    </w:p>
    <w:p w14:paraId="31A72C8A" w14:textId="77777777" w:rsidR="00C04B20" w:rsidRDefault="00C04B20" w:rsidP="00C04B20">
      <w:pPr>
        <w:contextualSpacing/>
      </w:pPr>
    </w:p>
    <w:p w14:paraId="00DF6C02" w14:textId="1EB57070" w:rsidR="00206440" w:rsidRDefault="00206440" w:rsidP="00C04B20">
      <w:pPr>
        <w:contextualSpacing/>
      </w:pPr>
      <w:r>
        <w:t>Pavel Kubaník</w:t>
      </w:r>
    </w:p>
    <w:p w14:paraId="0A50A86B" w14:textId="77777777" w:rsidR="001F2936" w:rsidRDefault="001F2936" w:rsidP="00C04B20">
      <w:pPr>
        <w:contextualSpacing/>
      </w:pPr>
    </w:p>
    <w:sectPr w:rsidR="001F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MzAzMLA0MjM1NLRU0lEKTi0uzszPAykwqQUAyvM7NCwAAAA="/>
  </w:docVars>
  <w:rsids>
    <w:rsidRoot w:val="00F276BD"/>
    <w:rsid w:val="00055972"/>
    <w:rsid w:val="00071C1D"/>
    <w:rsid w:val="000B13DD"/>
    <w:rsid w:val="000B5994"/>
    <w:rsid w:val="000D7FB3"/>
    <w:rsid w:val="0014415E"/>
    <w:rsid w:val="001F2936"/>
    <w:rsid w:val="00206440"/>
    <w:rsid w:val="00220B59"/>
    <w:rsid w:val="00244088"/>
    <w:rsid w:val="002E6D22"/>
    <w:rsid w:val="00357D03"/>
    <w:rsid w:val="0036549A"/>
    <w:rsid w:val="00383611"/>
    <w:rsid w:val="00444414"/>
    <w:rsid w:val="00497BAC"/>
    <w:rsid w:val="004F2B8C"/>
    <w:rsid w:val="005656EF"/>
    <w:rsid w:val="00570BCE"/>
    <w:rsid w:val="00570CF2"/>
    <w:rsid w:val="00574D0C"/>
    <w:rsid w:val="00642B88"/>
    <w:rsid w:val="006C1B48"/>
    <w:rsid w:val="006E1A54"/>
    <w:rsid w:val="00737210"/>
    <w:rsid w:val="007526BD"/>
    <w:rsid w:val="007B76ED"/>
    <w:rsid w:val="007E53E3"/>
    <w:rsid w:val="007F3BE8"/>
    <w:rsid w:val="007F7694"/>
    <w:rsid w:val="0082306E"/>
    <w:rsid w:val="00826F17"/>
    <w:rsid w:val="0083343A"/>
    <w:rsid w:val="00842F55"/>
    <w:rsid w:val="00865706"/>
    <w:rsid w:val="00872E47"/>
    <w:rsid w:val="00875015"/>
    <w:rsid w:val="0087620E"/>
    <w:rsid w:val="008832F7"/>
    <w:rsid w:val="00886E8E"/>
    <w:rsid w:val="008A3577"/>
    <w:rsid w:val="008A5B18"/>
    <w:rsid w:val="008C6A73"/>
    <w:rsid w:val="00933940"/>
    <w:rsid w:val="009F5D39"/>
    <w:rsid w:val="00A029BD"/>
    <w:rsid w:val="00A02BCD"/>
    <w:rsid w:val="00A743E9"/>
    <w:rsid w:val="00A91A32"/>
    <w:rsid w:val="00B53D9E"/>
    <w:rsid w:val="00B95196"/>
    <w:rsid w:val="00BC01A0"/>
    <w:rsid w:val="00BF6394"/>
    <w:rsid w:val="00C04B20"/>
    <w:rsid w:val="00CB6DB1"/>
    <w:rsid w:val="00CD184D"/>
    <w:rsid w:val="00CF4382"/>
    <w:rsid w:val="00D11DF5"/>
    <w:rsid w:val="00D31FD6"/>
    <w:rsid w:val="00D6453E"/>
    <w:rsid w:val="00DA72FE"/>
    <w:rsid w:val="00F25FDC"/>
    <w:rsid w:val="00F276BD"/>
    <w:rsid w:val="00F42D26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CBD0"/>
  <w15:chartTrackingRefBased/>
  <w15:docId w15:val="{3D6BBDA7-7B1A-414D-8DCE-120D512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F%20UK\Documents\BBB_obec\Odpady\Rekapitulace%20odpad&#367;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Odpady Chvalčov 2016–2021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Popelnice</c:v>
                </c:pt>
              </c:strCache>
            </c:strRef>
          </c:tx>
          <c:spPr>
            <a:ln w="28575" cap="rnd" cmpd="dbl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List1!$B$2:$G$2</c:f>
              <c:numCache>
                <c:formatCode>General</c:formatCode>
                <c:ptCount val="6"/>
                <c:pt idx="0">
                  <c:v>269.74</c:v>
                </c:pt>
                <c:pt idx="1">
                  <c:v>269.02</c:v>
                </c:pt>
                <c:pt idx="2">
                  <c:v>254.73</c:v>
                </c:pt>
                <c:pt idx="3">
                  <c:v>253.27</c:v>
                </c:pt>
                <c:pt idx="4">
                  <c:v>261.37</c:v>
                </c:pt>
                <c:pt idx="5">
                  <c:v>230.99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45-46C8-85BC-1F2E198DF813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Sklo / Papír / Plast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List1!$B$1:$G$1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List1!$B$3:$G$3</c:f>
              <c:numCache>
                <c:formatCode>General</c:formatCode>
                <c:ptCount val="6"/>
                <c:pt idx="0">
                  <c:v>53.35</c:v>
                </c:pt>
                <c:pt idx="1">
                  <c:v>72.27</c:v>
                </c:pt>
                <c:pt idx="2">
                  <c:v>80.02</c:v>
                </c:pt>
                <c:pt idx="3">
                  <c:v>84.56</c:v>
                </c:pt>
                <c:pt idx="4">
                  <c:v>87.01</c:v>
                </c:pt>
                <c:pt idx="5">
                  <c:v>98.37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45-46C8-85BC-1F2E198DF813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Bio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List1!$B$1:$G$1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List1!$B$4:$G$4</c:f>
              <c:numCache>
                <c:formatCode>General</c:formatCode>
                <c:ptCount val="6"/>
                <c:pt idx="0">
                  <c:v>114.74</c:v>
                </c:pt>
                <c:pt idx="1">
                  <c:v>143.38</c:v>
                </c:pt>
                <c:pt idx="2">
                  <c:v>109.91</c:v>
                </c:pt>
                <c:pt idx="3">
                  <c:v>108.22</c:v>
                </c:pt>
                <c:pt idx="4" formatCode="0.00">
                  <c:v>117</c:v>
                </c:pt>
                <c:pt idx="5" formatCode="0.00">
                  <c:v>109.16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45-46C8-85BC-1F2E198DF813}"/>
            </c:ext>
          </c:extLst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Velkoobjem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List1!$B$5:$G$5</c:f>
              <c:numCache>
                <c:formatCode>General</c:formatCode>
                <c:ptCount val="6"/>
                <c:pt idx="0">
                  <c:v>113.72</c:v>
                </c:pt>
                <c:pt idx="1">
                  <c:v>134.84</c:v>
                </c:pt>
                <c:pt idx="2">
                  <c:v>130</c:v>
                </c:pt>
                <c:pt idx="3">
                  <c:v>167.54</c:v>
                </c:pt>
                <c:pt idx="4" formatCode="0.00">
                  <c:v>178.7</c:v>
                </c:pt>
                <c:pt idx="5" formatCode="0.00">
                  <c:v>185.48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445-46C8-85BC-1F2E198DF813}"/>
            </c:ext>
          </c:extLst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Suť</c:v>
                </c:pt>
              </c:strCache>
            </c:strRef>
          </c:tx>
          <c:spPr>
            <a:ln w="28575" cap="rnd">
              <a:solidFill>
                <a:schemeClr val="dk1">
                  <a:tint val="3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List1!$B$1:$G$1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List1!$B$6:$G$6</c:f>
              <c:numCache>
                <c:formatCode>General</c:formatCode>
                <c:ptCount val="6"/>
                <c:pt idx="0">
                  <c:v>210.44</c:v>
                </c:pt>
                <c:pt idx="1">
                  <c:v>240.8</c:v>
                </c:pt>
                <c:pt idx="2">
                  <c:v>217.86</c:v>
                </c:pt>
                <c:pt idx="3">
                  <c:v>274.22000000000003</c:v>
                </c:pt>
                <c:pt idx="4">
                  <c:v>302.92</c:v>
                </c:pt>
                <c:pt idx="5">
                  <c:v>315.62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445-46C8-85BC-1F2E198DF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4281760"/>
        <c:axId val="984283424"/>
      </c:lineChart>
      <c:catAx>
        <c:axId val="98428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84283424"/>
        <c:crosses val="autoZero"/>
        <c:auto val="1"/>
        <c:lblAlgn val="ctr"/>
        <c:lblOffset val="100"/>
        <c:noMultiLvlLbl val="0"/>
      </c:catAx>
      <c:valAx>
        <c:axId val="98428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100" baseline="0"/>
                  <a:t>Množství odpadu v tunách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8428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Kubanik, Pavel</dc:creator>
  <cp:keywords/>
  <dc:description/>
  <cp:lastModifiedBy>office365</cp:lastModifiedBy>
  <cp:revision>2</cp:revision>
  <cp:lastPrinted>2022-02-04T08:33:00Z</cp:lastPrinted>
  <dcterms:created xsi:type="dcterms:W3CDTF">2022-02-04T09:16:00Z</dcterms:created>
  <dcterms:modified xsi:type="dcterms:W3CDTF">2022-02-04T09:16:00Z</dcterms:modified>
</cp:coreProperties>
</file>